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F6F4F73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419E9D9A">
            <wp:simplePos x="0" y="0"/>
            <wp:positionH relativeFrom="column">
              <wp:posOffset>-354965</wp:posOffset>
            </wp:positionH>
            <wp:positionV relativeFrom="paragraph">
              <wp:posOffset>-312421</wp:posOffset>
            </wp:positionV>
            <wp:extent cx="3697605" cy="1490437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092" cy="15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r w:rsidR="00E46769">
        <w:rPr>
          <w:rFonts w:ascii="Arial" w:hAnsi="Arial" w:cs="Arial"/>
          <w:b/>
          <w:bCs/>
          <w:color w:val="282A2E" w:themeColor="text1"/>
          <w:sz w:val="20"/>
          <w:szCs w:val="20"/>
        </w:rPr>
        <w:t>Крым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</w:p>
    <w:p w14:paraId="02E54909" w14:textId="4A91520E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Телефон: 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+7 (3652) 25-52-41</w:t>
      </w:r>
    </w:p>
    <w:p w14:paraId="312F8648" w14:textId="1230ED60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proofErr w:type="gramStart"/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proofErr w:type="gramEnd"/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E46769" w:rsidRPr="005C760A">
        <w:rPr>
          <w:rFonts w:ascii="Arial" w:hAnsi="Arial" w:cs="Arial"/>
          <w:color w:val="282A2E" w:themeColor="text1"/>
          <w:sz w:val="20"/>
          <w:szCs w:val="20"/>
        </w:rPr>
        <w:t>82.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01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proofErr w:type="spellStart"/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1B806961" w14:textId="3755835E" w:rsidR="00E46769" w:rsidRPr="00E46769" w:rsidRDefault="00A24AEF" w:rsidP="00E46769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ФИНАНСОВОМ СОСТОЯНИИ ОРГАНИЗАЦИЙ </w:t>
      </w:r>
    </w:p>
    <w:p w14:paraId="4F502DF9" w14:textId="129B6222" w:rsidR="002D799B" w:rsidRPr="00A24AEF" w:rsidRDefault="00E46769" w:rsidP="00E46769">
      <w:pPr>
        <w:spacing w:after="0"/>
        <w:ind w:right="-2"/>
        <w:rPr>
          <w:rFonts w:ascii="Arial" w:hAnsi="Arial" w:cs="Arial"/>
          <w:b/>
          <w:bCs/>
          <w:vertAlign w:val="superscript"/>
        </w:rPr>
      </w:pPr>
      <w:r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РЕСПУБЛИКИ КРЫМ В ЯНВАРЕ</w:t>
      </w:r>
      <w:r w:rsidR="00DA029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– </w:t>
      </w:r>
      <w:r w:rsidR="0031042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ФЕВРАЛЕ</w:t>
      </w:r>
      <w:r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</w:t>
      </w:r>
      <w:r w:rsidR="0031042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  <w:r w:rsidR="00A24AEF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1)</w:t>
      </w:r>
    </w:p>
    <w:p w14:paraId="7BAD0EC0" w14:textId="77777777" w:rsidR="00147B7F" w:rsidRDefault="00147B7F" w:rsidP="00AE76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</w:p>
    <w:p w14:paraId="24EB1F16" w14:textId="3129F7DF" w:rsidR="00310426" w:rsidRPr="00497954" w:rsidRDefault="00310426" w:rsidP="003104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AE761E">
        <w:rPr>
          <w:rFonts w:ascii="Arial" w:hAnsi="Arial" w:cs="Arial"/>
          <w:color w:val="282A2E"/>
        </w:rPr>
        <w:t>Сальдированный (прибыль минус убыток) финансовый результат до налогообложения организаций</w:t>
      </w:r>
      <w:r w:rsidRPr="007C5256">
        <w:rPr>
          <w:kern w:val="2"/>
          <w:sz w:val="28"/>
          <w:szCs w:val="28"/>
        </w:rPr>
        <w:t xml:space="preserve"> </w:t>
      </w:r>
      <w:r w:rsidRPr="00497954">
        <w:rPr>
          <w:rFonts w:ascii="Arial" w:hAnsi="Arial" w:cs="Arial"/>
          <w:color w:val="282A2E"/>
        </w:rPr>
        <w:t>Республики Крым в январе</w:t>
      </w:r>
      <w:r w:rsidR="00DE4EB0">
        <w:rPr>
          <w:rFonts w:ascii="Arial" w:hAnsi="Arial" w:cs="Arial"/>
          <w:color w:val="282A2E"/>
        </w:rPr>
        <w:t xml:space="preserve"> – </w:t>
      </w:r>
      <w:r>
        <w:rPr>
          <w:rFonts w:ascii="Arial" w:hAnsi="Arial" w:cs="Arial"/>
          <w:color w:val="282A2E"/>
        </w:rPr>
        <w:t>феврале</w:t>
      </w:r>
      <w:r w:rsidRPr="00497954">
        <w:rPr>
          <w:rFonts w:ascii="Arial" w:hAnsi="Arial" w:cs="Arial"/>
          <w:color w:val="282A2E"/>
        </w:rPr>
        <w:t xml:space="preserve"> 202</w:t>
      </w:r>
      <w:r w:rsidRPr="00A4363B">
        <w:rPr>
          <w:rFonts w:ascii="Arial" w:hAnsi="Arial" w:cs="Arial"/>
          <w:color w:val="282A2E"/>
        </w:rPr>
        <w:t>4</w:t>
      </w:r>
      <w:r w:rsidRPr="00497954">
        <w:rPr>
          <w:rFonts w:ascii="Arial" w:hAnsi="Arial" w:cs="Arial"/>
          <w:color w:val="282A2E"/>
        </w:rPr>
        <w:t xml:space="preserve"> г. в действующих ценах составил </w:t>
      </w:r>
      <w:r>
        <w:rPr>
          <w:rFonts w:ascii="Arial" w:hAnsi="Arial" w:cs="Arial"/>
          <w:color w:val="282A2E"/>
        </w:rPr>
        <w:t>1536,4</w:t>
      </w:r>
      <w:r w:rsidRPr="00497954">
        <w:rPr>
          <w:rFonts w:ascii="Arial" w:hAnsi="Arial" w:cs="Arial"/>
          <w:color w:val="282A2E"/>
        </w:rPr>
        <w:t xml:space="preserve"> млн рублей </w:t>
      </w:r>
      <w:r>
        <w:rPr>
          <w:rFonts w:ascii="Arial" w:hAnsi="Arial" w:cs="Arial"/>
          <w:color w:val="282A2E"/>
        </w:rPr>
        <w:t>убытка</w:t>
      </w:r>
      <w:r w:rsidRPr="00497954">
        <w:rPr>
          <w:rFonts w:ascii="Arial" w:hAnsi="Arial" w:cs="Arial"/>
          <w:color w:val="282A2E"/>
        </w:rPr>
        <w:t xml:space="preserve">, </w:t>
      </w:r>
      <w:bookmarkStart w:id="0" w:name="_GoBack"/>
      <w:bookmarkEnd w:id="0"/>
      <w:r w:rsidRPr="00A02926">
        <w:rPr>
          <w:rFonts w:ascii="Arial" w:hAnsi="Arial" w:cs="Arial"/>
          <w:color w:val="282A2E"/>
        </w:rPr>
        <w:t xml:space="preserve">в соответствующем периоде прошлого года убыток составлял </w:t>
      </w:r>
      <w:r>
        <w:rPr>
          <w:rFonts w:ascii="Arial" w:hAnsi="Arial" w:cs="Arial"/>
          <w:color w:val="282A2E"/>
        </w:rPr>
        <w:t>6393,4</w:t>
      </w:r>
      <w:r w:rsidRPr="00A02926">
        <w:rPr>
          <w:rFonts w:ascii="Arial" w:hAnsi="Arial" w:cs="Arial"/>
          <w:color w:val="282A2E"/>
        </w:rPr>
        <w:t xml:space="preserve"> млн рублей.</w:t>
      </w:r>
    </w:p>
    <w:p w14:paraId="6B145FD6" w14:textId="45EDDF68" w:rsidR="00310426" w:rsidRDefault="00310426" w:rsidP="003104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A02926">
        <w:rPr>
          <w:rFonts w:ascii="Arial" w:hAnsi="Arial" w:cs="Arial"/>
          <w:color w:val="282A2E"/>
        </w:rPr>
        <w:t>Прибыльными организациями, удельный вес которых составил 60,</w:t>
      </w:r>
      <w:r>
        <w:rPr>
          <w:rFonts w:ascii="Arial" w:hAnsi="Arial" w:cs="Arial"/>
          <w:color w:val="282A2E"/>
        </w:rPr>
        <w:t>6</w:t>
      </w:r>
      <w:r w:rsidRPr="00A02926">
        <w:rPr>
          <w:rFonts w:ascii="Arial" w:hAnsi="Arial" w:cs="Arial"/>
          <w:color w:val="282A2E"/>
        </w:rPr>
        <w:t xml:space="preserve">% в общем количестве предприятий республики, получено </w:t>
      </w:r>
      <w:r>
        <w:rPr>
          <w:rFonts w:ascii="Arial" w:hAnsi="Arial" w:cs="Arial"/>
          <w:color w:val="282A2E"/>
        </w:rPr>
        <w:t>6683,8</w:t>
      </w:r>
      <w:r w:rsidRPr="00A02926">
        <w:rPr>
          <w:rFonts w:ascii="Arial" w:hAnsi="Arial" w:cs="Arial"/>
          <w:color w:val="282A2E"/>
        </w:rPr>
        <w:t xml:space="preserve"> млн рублей прибыли, которая по сравнению с январем</w:t>
      </w:r>
      <w:r w:rsidR="00DE4EB0">
        <w:rPr>
          <w:rFonts w:ascii="Arial" w:hAnsi="Arial" w:cs="Arial"/>
          <w:color w:val="282A2E"/>
        </w:rPr>
        <w:t xml:space="preserve"> –</w:t>
      </w:r>
      <w:r>
        <w:rPr>
          <w:rFonts w:ascii="Arial" w:hAnsi="Arial" w:cs="Arial"/>
          <w:color w:val="282A2E"/>
        </w:rPr>
        <w:t xml:space="preserve">февралем </w:t>
      </w:r>
      <w:r w:rsidRPr="00A02926">
        <w:rPr>
          <w:rFonts w:ascii="Arial" w:hAnsi="Arial" w:cs="Arial"/>
          <w:color w:val="282A2E"/>
        </w:rPr>
        <w:t>2023 г. увеличилась на 33,</w:t>
      </w:r>
      <w:r>
        <w:rPr>
          <w:rFonts w:ascii="Arial" w:hAnsi="Arial" w:cs="Arial"/>
          <w:color w:val="282A2E"/>
        </w:rPr>
        <w:t>3</w:t>
      </w:r>
      <w:r w:rsidRPr="00A02926">
        <w:rPr>
          <w:rFonts w:ascii="Arial" w:hAnsi="Arial" w:cs="Arial"/>
          <w:color w:val="282A2E"/>
        </w:rPr>
        <w:t>%.</w:t>
      </w:r>
      <w:r w:rsidRPr="00497954">
        <w:rPr>
          <w:rFonts w:ascii="Arial" w:hAnsi="Arial" w:cs="Arial"/>
          <w:color w:val="282A2E"/>
        </w:rPr>
        <w:t xml:space="preserve"> </w:t>
      </w:r>
      <w:r w:rsidRPr="00A02926">
        <w:rPr>
          <w:rFonts w:ascii="Arial" w:hAnsi="Arial" w:cs="Arial"/>
          <w:color w:val="282A2E"/>
        </w:rPr>
        <w:t>Основная доля общей суммы прибыли сформирована предприятиями промышленности (3</w:t>
      </w:r>
      <w:r>
        <w:rPr>
          <w:rFonts w:ascii="Arial" w:hAnsi="Arial" w:cs="Arial"/>
          <w:color w:val="282A2E"/>
        </w:rPr>
        <w:t>9</w:t>
      </w:r>
      <w:r w:rsidRPr="00A02926">
        <w:rPr>
          <w:rFonts w:ascii="Arial" w:hAnsi="Arial" w:cs="Arial"/>
          <w:color w:val="282A2E"/>
        </w:rPr>
        <w:t>,7%), торговли оптовой и розничной; ремонта автотранспортных средств и мотоциклов (2</w:t>
      </w:r>
      <w:r>
        <w:rPr>
          <w:rFonts w:ascii="Arial" w:hAnsi="Arial" w:cs="Arial"/>
          <w:color w:val="282A2E"/>
        </w:rPr>
        <w:t>8</w:t>
      </w:r>
      <w:r w:rsidRPr="00A02926">
        <w:rPr>
          <w:rFonts w:ascii="Arial" w:hAnsi="Arial" w:cs="Arial"/>
          <w:color w:val="282A2E"/>
        </w:rPr>
        <w:t>,</w:t>
      </w:r>
      <w:r>
        <w:rPr>
          <w:rFonts w:ascii="Arial" w:hAnsi="Arial" w:cs="Arial"/>
          <w:color w:val="282A2E"/>
        </w:rPr>
        <w:t>7</w:t>
      </w:r>
      <w:r w:rsidRPr="00A02926">
        <w:rPr>
          <w:rFonts w:ascii="Arial" w:hAnsi="Arial" w:cs="Arial"/>
          <w:color w:val="282A2E"/>
        </w:rPr>
        <w:t>%).</w:t>
      </w:r>
    </w:p>
    <w:p w14:paraId="147E4270" w14:textId="77777777" w:rsidR="00A24AEF" w:rsidRPr="00031884" w:rsidRDefault="00A24AEF" w:rsidP="00CD5427">
      <w:pPr>
        <w:tabs>
          <w:tab w:val="left" w:pos="5954"/>
        </w:tabs>
        <w:ind w:right="-2"/>
      </w:pPr>
      <w:r w:rsidRPr="00E352E0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4AC76E12" wp14:editId="617784F6">
            <wp:extent cx="6696075" cy="2228850"/>
            <wp:effectExtent l="0" t="0" r="9525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EA1B83" w14:textId="77777777" w:rsidR="00DE4EB0" w:rsidRPr="00877BE8" w:rsidRDefault="00A52928" w:rsidP="00DE4EB0">
      <w:pPr>
        <w:autoSpaceDE w:val="0"/>
        <w:autoSpaceDN w:val="0"/>
        <w:adjustRightInd w:val="0"/>
        <w:spacing w:before="240"/>
        <w:ind w:firstLine="567"/>
        <w:jc w:val="both"/>
        <w:rPr>
          <w:rFonts w:ascii="Arial" w:hAnsi="Arial" w:cs="Arial"/>
          <w:color w:val="282A2E"/>
        </w:rPr>
      </w:pPr>
      <w:r w:rsidRPr="00497954">
        <w:rPr>
          <w:rFonts w:ascii="Arial" w:hAnsi="Arial" w:cs="Arial"/>
          <w:color w:val="282A2E"/>
        </w:rPr>
        <w:t>В январе</w:t>
      </w:r>
      <w:r w:rsidR="00B62C21">
        <w:rPr>
          <w:rFonts w:ascii="Arial" w:hAnsi="Arial" w:cs="Arial"/>
          <w:color w:val="282A2E"/>
        </w:rPr>
        <w:t xml:space="preserve"> – </w:t>
      </w:r>
      <w:r w:rsidR="00DE4EB0">
        <w:rPr>
          <w:rFonts w:ascii="Arial" w:hAnsi="Arial" w:cs="Arial"/>
          <w:color w:val="282A2E"/>
        </w:rPr>
        <w:t>феврале</w:t>
      </w:r>
      <w:r w:rsidRPr="00497954">
        <w:rPr>
          <w:rFonts w:ascii="Arial" w:hAnsi="Arial" w:cs="Arial"/>
          <w:color w:val="282A2E"/>
        </w:rPr>
        <w:t xml:space="preserve"> 202</w:t>
      </w:r>
      <w:r w:rsidR="00DE4EB0">
        <w:rPr>
          <w:rFonts w:ascii="Arial" w:hAnsi="Arial" w:cs="Arial"/>
          <w:color w:val="282A2E"/>
        </w:rPr>
        <w:t>4</w:t>
      </w:r>
      <w:r w:rsidRPr="00497954">
        <w:rPr>
          <w:rFonts w:ascii="Arial" w:hAnsi="Arial" w:cs="Arial"/>
          <w:color w:val="282A2E"/>
        </w:rPr>
        <w:t xml:space="preserve"> г. убыточно работали 3</w:t>
      </w:r>
      <w:r w:rsidR="00DE4EB0">
        <w:rPr>
          <w:rFonts w:ascii="Arial" w:hAnsi="Arial" w:cs="Arial"/>
          <w:color w:val="282A2E"/>
        </w:rPr>
        <w:t>9</w:t>
      </w:r>
      <w:r w:rsidRPr="00497954">
        <w:rPr>
          <w:rFonts w:ascii="Arial" w:hAnsi="Arial" w:cs="Arial"/>
          <w:color w:val="282A2E"/>
        </w:rPr>
        <w:t>,</w:t>
      </w:r>
      <w:r w:rsidR="00DE4EB0">
        <w:rPr>
          <w:rFonts w:ascii="Arial" w:hAnsi="Arial" w:cs="Arial"/>
          <w:color w:val="282A2E"/>
        </w:rPr>
        <w:t>4</w:t>
      </w:r>
      <w:r w:rsidRPr="00497954">
        <w:rPr>
          <w:rFonts w:ascii="Arial" w:hAnsi="Arial" w:cs="Arial"/>
          <w:color w:val="282A2E"/>
        </w:rPr>
        <w:t>% предприятий. Сумма убытков таких организаций к январю</w:t>
      </w:r>
      <w:r w:rsidR="008757EE">
        <w:rPr>
          <w:rFonts w:ascii="Arial" w:hAnsi="Arial" w:cs="Arial"/>
          <w:color w:val="282A2E"/>
        </w:rPr>
        <w:t xml:space="preserve"> – </w:t>
      </w:r>
      <w:r w:rsidR="00DE4EB0">
        <w:rPr>
          <w:rFonts w:ascii="Arial" w:hAnsi="Arial" w:cs="Arial"/>
          <w:color w:val="282A2E"/>
        </w:rPr>
        <w:t>февралю</w:t>
      </w:r>
      <w:r w:rsidRPr="00497954">
        <w:rPr>
          <w:rFonts w:ascii="Arial" w:hAnsi="Arial" w:cs="Arial"/>
          <w:color w:val="282A2E"/>
        </w:rPr>
        <w:t xml:space="preserve"> 202</w:t>
      </w:r>
      <w:r w:rsidR="00DE4EB0">
        <w:rPr>
          <w:rFonts w:ascii="Arial" w:hAnsi="Arial" w:cs="Arial"/>
          <w:color w:val="282A2E"/>
        </w:rPr>
        <w:t>3</w:t>
      </w:r>
      <w:r w:rsidRPr="00497954">
        <w:rPr>
          <w:rFonts w:ascii="Arial" w:hAnsi="Arial" w:cs="Arial"/>
          <w:color w:val="282A2E"/>
        </w:rPr>
        <w:t xml:space="preserve"> г. </w:t>
      </w:r>
      <w:r w:rsidR="00DE4EB0">
        <w:rPr>
          <w:rFonts w:ascii="Arial" w:hAnsi="Arial" w:cs="Arial"/>
          <w:color w:val="282A2E"/>
        </w:rPr>
        <w:t>уменьшилась</w:t>
      </w:r>
      <w:r w:rsidRPr="00497954">
        <w:rPr>
          <w:rFonts w:ascii="Arial" w:hAnsi="Arial" w:cs="Arial"/>
          <w:color w:val="282A2E"/>
        </w:rPr>
        <w:t xml:space="preserve"> на </w:t>
      </w:r>
      <w:r w:rsidR="00DE4EB0">
        <w:rPr>
          <w:rFonts w:ascii="Arial" w:hAnsi="Arial" w:cs="Arial"/>
          <w:color w:val="282A2E"/>
        </w:rPr>
        <w:t>28,0</w:t>
      </w:r>
      <w:r w:rsidRPr="00497954">
        <w:rPr>
          <w:rFonts w:ascii="Arial" w:hAnsi="Arial" w:cs="Arial"/>
          <w:color w:val="282A2E"/>
        </w:rPr>
        <w:t xml:space="preserve">% и составила </w:t>
      </w:r>
      <w:r w:rsidR="00DE4EB0">
        <w:rPr>
          <w:rFonts w:ascii="Arial" w:hAnsi="Arial" w:cs="Arial"/>
          <w:color w:val="282A2E"/>
        </w:rPr>
        <w:t>8220,2</w:t>
      </w:r>
      <w:r w:rsidRPr="00497954">
        <w:rPr>
          <w:rFonts w:ascii="Arial" w:hAnsi="Arial" w:cs="Arial"/>
          <w:color w:val="282A2E"/>
        </w:rPr>
        <w:t xml:space="preserve"> млн рублей. </w:t>
      </w:r>
      <w:r w:rsidR="00DE4EB0" w:rsidRPr="00877BE8">
        <w:rPr>
          <w:rFonts w:ascii="Arial" w:hAnsi="Arial" w:cs="Arial"/>
          <w:color w:val="282A2E"/>
        </w:rPr>
        <w:t>Значительные объемы убытков допустили организации транспортировки и хранения (3</w:t>
      </w:r>
      <w:r w:rsidR="00DE4EB0">
        <w:rPr>
          <w:rFonts w:ascii="Arial" w:hAnsi="Arial" w:cs="Arial"/>
          <w:color w:val="282A2E"/>
        </w:rPr>
        <w:t>7,</w:t>
      </w:r>
      <w:r w:rsidR="00DE4EB0" w:rsidRPr="00877BE8">
        <w:rPr>
          <w:rFonts w:ascii="Arial" w:hAnsi="Arial" w:cs="Arial"/>
          <w:color w:val="282A2E"/>
        </w:rPr>
        <w:t xml:space="preserve">9% от общей суммы убытков по республике), </w:t>
      </w:r>
      <w:r w:rsidR="00DE4EB0">
        <w:rPr>
          <w:rFonts w:ascii="Arial" w:hAnsi="Arial" w:cs="Arial"/>
          <w:color w:val="282A2E"/>
        </w:rPr>
        <w:t xml:space="preserve">организации деятельности в области информации и связи (30,5%) и </w:t>
      </w:r>
      <w:r w:rsidR="00DE4EB0" w:rsidRPr="00877BE8">
        <w:rPr>
          <w:rFonts w:ascii="Arial" w:hAnsi="Arial" w:cs="Arial"/>
          <w:color w:val="282A2E"/>
        </w:rPr>
        <w:t>предприятия промышленности (</w:t>
      </w:r>
      <w:r w:rsidR="00DE4EB0">
        <w:rPr>
          <w:rFonts w:ascii="Arial" w:hAnsi="Arial" w:cs="Arial"/>
          <w:color w:val="282A2E"/>
        </w:rPr>
        <w:t>12</w:t>
      </w:r>
      <w:r w:rsidR="00DE4EB0" w:rsidRPr="00877BE8">
        <w:rPr>
          <w:rFonts w:ascii="Arial" w:hAnsi="Arial" w:cs="Arial"/>
          <w:color w:val="282A2E"/>
        </w:rPr>
        <w:t>,</w:t>
      </w:r>
      <w:r w:rsidR="00DE4EB0">
        <w:rPr>
          <w:rFonts w:ascii="Arial" w:hAnsi="Arial" w:cs="Arial"/>
          <w:color w:val="282A2E"/>
        </w:rPr>
        <w:t>4%).</w:t>
      </w:r>
    </w:p>
    <w:p w14:paraId="23E72847" w14:textId="2ADC3500" w:rsidR="009561A9" w:rsidRPr="00031884" w:rsidRDefault="009561A9" w:rsidP="00CD5427">
      <w:pPr>
        <w:tabs>
          <w:tab w:val="left" w:pos="5954"/>
        </w:tabs>
        <w:autoSpaceDE w:val="0"/>
        <w:autoSpaceDN w:val="0"/>
        <w:adjustRightInd w:val="0"/>
      </w:pPr>
      <w:r w:rsidRPr="00E352E0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7600F5D2" wp14:editId="21A4CD33">
            <wp:extent cx="6696075" cy="2266950"/>
            <wp:effectExtent l="0" t="0" r="9525" b="0"/>
            <wp:docPr id="3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543929" w14:textId="77777777" w:rsidR="00A24AEF" w:rsidRPr="00AE761E" w:rsidRDefault="00A24AEF" w:rsidP="00A24A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38383"/>
          <w:sz w:val="16"/>
          <w:szCs w:val="16"/>
        </w:rPr>
      </w:pPr>
      <w:r w:rsidRPr="00AE761E">
        <w:rPr>
          <w:rFonts w:ascii="Arial" w:hAnsi="Arial" w:cs="Arial"/>
          <w:color w:val="838383"/>
          <w:sz w:val="16"/>
          <w:szCs w:val="16"/>
        </w:rPr>
        <w:t>_______________________</w:t>
      </w:r>
    </w:p>
    <w:p w14:paraId="7621CD0E" w14:textId="4D36D7F9" w:rsidR="00A24AEF" w:rsidRPr="00A24AEF" w:rsidRDefault="00A24AEF" w:rsidP="00A24A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38383"/>
          <w:sz w:val="16"/>
          <w:szCs w:val="16"/>
        </w:rPr>
      </w:pPr>
      <w:r w:rsidRPr="00A24AEF">
        <w:rPr>
          <w:rFonts w:ascii="Arial" w:hAnsi="Arial" w:cs="Arial"/>
          <w:color w:val="8F8F8F" w:themeColor="background2" w:themeShade="BF"/>
          <w:sz w:val="16"/>
          <w:szCs w:val="16"/>
          <w:vertAlign w:val="superscript"/>
        </w:rPr>
        <w:t>1</w:t>
      </w:r>
      <w:r w:rsidR="00475EBE">
        <w:rPr>
          <w:rFonts w:ascii="Arial" w:hAnsi="Arial" w:cs="Arial"/>
          <w:color w:val="8F8F8F" w:themeColor="background2" w:themeShade="BF"/>
          <w:sz w:val="16"/>
          <w:szCs w:val="16"/>
          <w:vertAlign w:val="superscript"/>
        </w:rPr>
        <w:t>)</w:t>
      </w:r>
      <w:r w:rsidRPr="00A24AEF">
        <w:rPr>
          <w:rFonts w:ascii="Arial" w:hAnsi="Arial" w:cs="Arial"/>
          <w:color w:val="8F8F8F" w:themeColor="background2" w:themeShade="BF"/>
          <w:sz w:val="16"/>
          <w:szCs w:val="16"/>
        </w:rPr>
        <w:t xml:space="preserve"> </w:t>
      </w:r>
      <w:r w:rsidRPr="00A24AEF">
        <w:rPr>
          <w:rFonts w:ascii="Arial" w:eastAsia="Calibri" w:hAnsi="Arial" w:cs="Arial"/>
          <w:color w:val="8F8F8F" w:themeColor="background2" w:themeShade="BF"/>
          <w:sz w:val="16"/>
          <w:szCs w:val="16"/>
        </w:rPr>
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Pr="00A24AEF">
        <w:rPr>
          <w:rFonts w:ascii="Arial" w:eastAsia="Calibri" w:hAnsi="Arial" w:cs="Arial"/>
          <w:sz w:val="16"/>
          <w:szCs w:val="16"/>
        </w:rPr>
        <w:t>.</w:t>
      </w:r>
    </w:p>
    <w:p w14:paraId="2C575E98" w14:textId="08901B57" w:rsidR="00A24AEF" w:rsidRPr="00A24AEF" w:rsidRDefault="00A24AEF" w:rsidP="00147B7F">
      <w:pPr>
        <w:ind w:firstLine="567"/>
        <w:jc w:val="both"/>
        <w:rPr>
          <w:rFonts w:ascii="Arial" w:hAnsi="Arial" w:cs="Arial"/>
        </w:rPr>
      </w:pPr>
      <w:r w:rsidRPr="00A24AEF">
        <w:rPr>
          <w:rFonts w:ascii="Arial" w:hAnsi="Arial" w:cs="Arial"/>
        </w:rPr>
        <w:lastRenderedPageBreak/>
        <w:t>Из 25 муниципальных образований Республики Крым 1</w:t>
      </w:r>
      <w:r w:rsidR="00FC43E1">
        <w:rPr>
          <w:rFonts w:ascii="Arial" w:hAnsi="Arial" w:cs="Arial"/>
        </w:rPr>
        <w:t>1</w:t>
      </w:r>
      <w:r w:rsidRPr="00A24AEF">
        <w:rPr>
          <w:rFonts w:ascii="Arial" w:hAnsi="Arial" w:cs="Arial"/>
        </w:rPr>
        <w:t xml:space="preserve"> получили прибыль (сальдо).</w:t>
      </w:r>
      <w:r w:rsidR="00820C4B">
        <w:rPr>
          <w:rFonts w:ascii="Arial" w:hAnsi="Arial" w:cs="Arial"/>
        </w:rPr>
        <w:t xml:space="preserve">  </w:t>
      </w:r>
      <w:r w:rsidRPr="00A24AEF">
        <w:rPr>
          <w:rFonts w:ascii="Arial" w:hAnsi="Arial" w:cs="Arial"/>
        </w:rPr>
        <w:t>Наибольшая сумма прибыли (сальдо) наблюдается</w:t>
      </w:r>
      <w:r w:rsidR="00820C4B">
        <w:rPr>
          <w:rFonts w:ascii="Arial" w:hAnsi="Arial" w:cs="Arial"/>
        </w:rPr>
        <w:t xml:space="preserve"> </w:t>
      </w:r>
      <w:r w:rsidRPr="00A24AEF">
        <w:rPr>
          <w:rFonts w:ascii="Arial" w:hAnsi="Arial" w:cs="Arial"/>
        </w:rPr>
        <w:t>в</w:t>
      </w:r>
      <w:r w:rsidR="00820C4B">
        <w:rPr>
          <w:rFonts w:ascii="Arial" w:hAnsi="Arial" w:cs="Arial"/>
        </w:rPr>
        <w:t xml:space="preserve"> </w:t>
      </w:r>
      <w:r w:rsidR="00FC43E1">
        <w:rPr>
          <w:rFonts w:ascii="Arial" w:hAnsi="Arial" w:cs="Arial"/>
        </w:rPr>
        <w:t>Красногвардейском муниципальном округе</w:t>
      </w:r>
      <w:r w:rsidR="00820C4B">
        <w:rPr>
          <w:rFonts w:ascii="Arial" w:hAnsi="Arial" w:cs="Arial"/>
        </w:rPr>
        <w:t xml:space="preserve"> </w:t>
      </w:r>
      <w:r w:rsidRPr="00A24AEF">
        <w:rPr>
          <w:rFonts w:ascii="Arial" w:hAnsi="Arial" w:cs="Arial"/>
        </w:rPr>
        <w:t>(</w:t>
      </w:r>
      <w:r w:rsidR="00FC43E1">
        <w:rPr>
          <w:rFonts w:ascii="Arial" w:hAnsi="Arial" w:cs="Arial"/>
        </w:rPr>
        <w:t>498,2</w:t>
      </w:r>
      <w:r w:rsidRPr="00A24AEF">
        <w:rPr>
          <w:rFonts w:ascii="Arial" w:hAnsi="Arial" w:cs="Arial"/>
        </w:rPr>
        <w:t xml:space="preserve"> млн рублей), а наибольшие убытки </w:t>
      </w:r>
      <w:r w:rsidR="00147B7F">
        <w:rPr>
          <w:rFonts w:ascii="Arial" w:hAnsi="Arial" w:cs="Arial"/>
        </w:rPr>
        <w:t>–</w:t>
      </w:r>
      <w:r w:rsidRPr="00A24AEF">
        <w:rPr>
          <w:rFonts w:ascii="Arial" w:hAnsi="Arial" w:cs="Arial"/>
        </w:rPr>
        <w:t xml:space="preserve"> в </w:t>
      </w:r>
      <w:r w:rsidR="00FC43E1">
        <w:rPr>
          <w:rFonts w:ascii="Arial" w:hAnsi="Arial" w:cs="Arial"/>
        </w:rPr>
        <w:t>городском округе Симферополь</w:t>
      </w:r>
      <w:r w:rsidRPr="00A24AEF">
        <w:rPr>
          <w:rFonts w:ascii="Arial" w:hAnsi="Arial" w:cs="Arial"/>
        </w:rPr>
        <w:t xml:space="preserve"> (</w:t>
      </w:r>
      <w:r w:rsidR="00FC43E1">
        <w:rPr>
          <w:rFonts w:ascii="Arial" w:hAnsi="Arial" w:cs="Arial"/>
        </w:rPr>
        <w:t>3069,1</w:t>
      </w:r>
      <w:r w:rsidRPr="00A24AEF">
        <w:rPr>
          <w:rFonts w:ascii="Arial" w:hAnsi="Arial" w:cs="Arial"/>
        </w:rPr>
        <w:t xml:space="preserve"> млн рублей).</w:t>
      </w:r>
    </w:p>
    <w:p w14:paraId="2ED4B36E" w14:textId="0E46BE19" w:rsidR="00A24AEF" w:rsidRPr="00A24AEF" w:rsidRDefault="00A24AEF" w:rsidP="005E6F59">
      <w:pPr>
        <w:ind w:firstLine="567"/>
        <w:jc w:val="both"/>
        <w:rPr>
          <w:rFonts w:ascii="Arial" w:hAnsi="Arial" w:cs="Arial"/>
        </w:rPr>
      </w:pPr>
      <w:r w:rsidRPr="00A24AEF">
        <w:rPr>
          <w:rFonts w:ascii="Arial" w:eastAsia="Calibri" w:hAnsi="Arial" w:cs="Arial"/>
          <w:b/>
          <w:kern w:val="2"/>
        </w:rPr>
        <w:t>Кредиторская задолженность</w:t>
      </w:r>
      <w:r w:rsidRPr="00A24AEF">
        <w:rPr>
          <w:rFonts w:ascii="Arial" w:eastAsia="Calibri" w:hAnsi="Arial" w:cs="Arial"/>
          <w:kern w:val="2"/>
        </w:rPr>
        <w:t xml:space="preserve"> организаций Республики Крым на конец </w:t>
      </w:r>
      <w:r w:rsidR="002A7AB5">
        <w:rPr>
          <w:rFonts w:ascii="Arial" w:eastAsia="Calibri" w:hAnsi="Arial" w:cs="Arial"/>
          <w:kern w:val="2"/>
        </w:rPr>
        <w:t>февраля</w:t>
      </w:r>
      <w:r w:rsidRPr="00A24AEF">
        <w:rPr>
          <w:rFonts w:ascii="Arial" w:eastAsia="Calibri" w:hAnsi="Arial" w:cs="Arial"/>
          <w:kern w:val="2"/>
        </w:rPr>
        <w:t xml:space="preserve"> 202</w:t>
      </w:r>
      <w:r w:rsidR="002A7AB5">
        <w:rPr>
          <w:rFonts w:ascii="Arial" w:eastAsia="Calibri" w:hAnsi="Arial" w:cs="Arial"/>
          <w:kern w:val="2"/>
        </w:rPr>
        <w:t>4</w:t>
      </w:r>
      <w:r w:rsidRPr="00A24AEF">
        <w:rPr>
          <w:rFonts w:ascii="Arial" w:eastAsia="Calibri" w:hAnsi="Arial" w:cs="Arial"/>
          <w:kern w:val="2"/>
        </w:rPr>
        <w:t xml:space="preserve"> г. составила </w:t>
      </w:r>
      <w:r w:rsidR="002A7AB5">
        <w:rPr>
          <w:rFonts w:ascii="Arial" w:eastAsia="Calibri" w:hAnsi="Arial" w:cs="Arial"/>
          <w:kern w:val="2"/>
        </w:rPr>
        <w:t>260683,6</w:t>
      </w:r>
      <w:r w:rsidRPr="00A24AEF">
        <w:rPr>
          <w:rFonts w:ascii="Arial" w:eastAsia="Calibri" w:hAnsi="Arial" w:cs="Arial"/>
          <w:kern w:val="2"/>
        </w:rPr>
        <w:t xml:space="preserve"> млн рублей</w:t>
      </w:r>
      <w:r w:rsidRPr="00A24AEF">
        <w:rPr>
          <w:rFonts w:ascii="Arial" w:hAnsi="Arial" w:cs="Arial"/>
          <w:color w:val="000000"/>
        </w:rPr>
        <w:t xml:space="preserve">. </w:t>
      </w:r>
      <w:r w:rsidRPr="00A24AEF">
        <w:rPr>
          <w:rFonts w:ascii="Arial" w:hAnsi="Arial" w:cs="Arial"/>
        </w:rPr>
        <w:t>На предприятия промышленности приходится 4</w:t>
      </w:r>
      <w:r w:rsidR="00524D57">
        <w:rPr>
          <w:rFonts w:ascii="Arial" w:hAnsi="Arial" w:cs="Arial"/>
        </w:rPr>
        <w:t>8</w:t>
      </w:r>
      <w:r w:rsidRPr="00A24AEF">
        <w:rPr>
          <w:rFonts w:ascii="Arial" w:hAnsi="Arial" w:cs="Arial"/>
        </w:rPr>
        <w:t>,</w:t>
      </w:r>
      <w:r w:rsidR="00524D57">
        <w:rPr>
          <w:rFonts w:ascii="Arial" w:hAnsi="Arial" w:cs="Arial"/>
        </w:rPr>
        <w:t>3</w:t>
      </w:r>
      <w:r w:rsidRPr="00A24AEF">
        <w:rPr>
          <w:rFonts w:ascii="Arial" w:hAnsi="Arial" w:cs="Arial"/>
        </w:rPr>
        <w:t xml:space="preserve">% общей суммы задолженности. </w:t>
      </w:r>
    </w:p>
    <w:p w14:paraId="30F43E01" w14:textId="1A4DBE67" w:rsidR="00A24AEF" w:rsidRPr="00A24AEF" w:rsidRDefault="00A24AEF" w:rsidP="005E6F59">
      <w:pPr>
        <w:ind w:firstLine="567"/>
        <w:jc w:val="both"/>
        <w:rPr>
          <w:rFonts w:ascii="Arial" w:hAnsi="Arial" w:cs="Arial"/>
        </w:rPr>
      </w:pPr>
      <w:r w:rsidRPr="00A24AEF">
        <w:rPr>
          <w:rFonts w:ascii="Arial" w:hAnsi="Arial" w:cs="Arial"/>
          <w:color w:val="000000"/>
        </w:rPr>
        <w:t xml:space="preserve">Удельный вес просроченной кредиторской задолженности составил </w:t>
      </w:r>
      <w:r w:rsidR="004113E3">
        <w:rPr>
          <w:rFonts w:ascii="Arial" w:hAnsi="Arial" w:cs="Arial"/>
          <w:color w:val="000000"/>
        </w:rPr>
        <w:t>2</w:t>
      </w:r>
      <w:r w:rsidRPr="00A24AEF">
        <w:rPr>
          <w:rFonts w:ascii="Arial" w:hAnsi="Arial" w:cs="Arial"/>
          <w:color w:val="000000"/>
        </w:rPr>
        <w:t>,</w:t>
      </w:r>
      <w:r w:rsidR="00EA43B1">
        <w:rPr>
          <w:rFonts w:ascii="Arial" w:hAnsi="Arial" w:cs="Arial"/>
          <w:color w:val="000000"/>
        </w:rPr>
        <w:t>2</w:t>
      </w:r>
      <w:r w:rsidRPr="00A24AEF">
        <w:rPr>
          <w:rFonts w:ascii="Arial" w:hAnsi="Arial" w:cs="Arial"/>
          <w:color w:val="000000"/>
        </w:rPr>
        <w:t xml:space="preserve">%. </w:t>
      </w:r>
      <w:r w:rsidRPr="00A24AEF">
        <w:rPr>
          <w:rFonts w:ascii="Arial" w:hAnsi="Arial" w:cs="Arial"/>
        </w:rPr>
        <w:t xml:space="preserve">Темп роста общей суммы кредиторской задолженности к концу </w:t>
      </w:r>
      <w:r w:rsidR="00EA43B1">
        <w:rPr>
          <w:rFonts w:ascii="Arial" w:hAnsi="Arial" w:cs="Arial"/>
        </w:rPr>
        <w:t>января</w:t>
      </w:r>
      <w:r w:rsidRPr="00A24AEF">
        <w:rPr>
          <w:rFonts w:ascii="Arial" w:hAnsi="Arial" w:cs="Arial"/>
        </w:rPr>
        <w:t xml:space="preserve"> 202</w:t>
      </w:r>
      <w:r w:rsidR="00EA43B1">
        <w:rPr>
          <w:rFonts w:ascii="Arial" w:hAnsi="Arial" w:cs="Arial"/>
        </w:rPr>
        <w:t>4</w:t>
      </w:r>
      <w:r w:rsidRPr="00A24AEF">
        <w:rPr>
          <w:rFonts w:ascii="Arial" w:hAnsi="Arial" w:cs="Arial"/>
        </w:rPr>
        <w:t xml:space="preserve"> г. равен </w:t>
      </w:r>
      <w:r w:rsidR="004113E3">
        <w:rPr>
          <w:rFonts w:ascii="Arial" w:hAnsi="Arial" w:cs="Arial"/>
        </w:rPr>
        <w:t>10</w:t>
      </w:r>
      <w:r w:rsidR="00EA43B1">
        <w:rPr>
          <w:rFonts w:ascii="Arial" w:hAnsi="Arial" w:cs="Arial"/>
        </w:rPr>
        <w:t>2</w:t>
      </w:r>
      <w:r w:rsidRPr="00A24AEF">
        <w:rPr>
          <w:rFonts w:ascii="Arial" w:hAnsi="Arial" w:cs="Arial"/>
        </w:rPr>
        <w:t>,</w:t>
      </w:r>
      <w:r w:rsidR="00EA43B1">
        <w:rPr>
          <w:rFonts w:ascii="Arial" w:hAnsi="Arial" w:cs="Arial"/>
        </w:rPr>
        <w:t>1</w:t>
      </w:r>
      <w:r w:rsidRPr="00A24AEF">
        <w:rPr>
          <w:rFonts w:ascii="Arial" w:hAnsi="Arial" w:cs="Arial"/>
        </w:rPr>
        <w:t>%.</w:t>
      </w:r>
    </w:p>
    <w:p w14:paraId="415C52B7" w14:textId="77777777" w:rsidR="00A24AEF" w:rsidRPr="00192F5E" w:rsidRDefault="00A24AEF" w:rsidP="0069416A">
      <w:pPr>
        <w:spacing w:line="240" w:lineRule="auto"/>
        <w:rPr>
          <w:color w:val="000000"/>
        </w:rPr>
      </w:pPr>
      <w:r w:rsidRPr="008D4DBA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0DDE0516" wp14:editId="6F437891">
            <wp:extent cx="6743700" cy="2552700"/>
            <wp:effectExtent l="0" t="0" r="0" b="0"/>
            <wp:docPr id="2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CEDD88" w14:textId="2B5F39D5" w:rsidR="00A24AEF" w:rsidRPr="00A24AEF" w:rsidRDefault="00A24AEF" w:rsidP="005E6F59">
      <w:pPr>
        <w:ind w:right="-1" w:firstLine="567"/>
        <w:jc w:val="both"/>
        <w:rPr>
          <w:rFonts w:ascii="Arial" w:eastAsia="Calibri" w:hAnsi="Arial" w:cs="Arial"/>
          <w:kern w:val="2"/>
        </w:rPr>
      </w:pPr>
      <w:r w:rsidRPr="00A24AEF">
        <w:rPr>
          <w:rFonts w:ascii="Arial" w:eastAsia="Calibri" w:hAnsi="Arial" w:cs="Arial"/>
          <w:kern w:val="2"/>
        </w:rPr>
        <w:t xml:space="preserve">На задолженность по платежам в бюджет и по взносам на обязательное социальное страхование, обязательное пенсионное обеспечение, обязательное медицинское страхование приходится </w:t>
      </w:r>
      <w:r w:rsidR="001E36AF">
        <w:rPr>
          <w:rFonts w:ascii="Arial" w:eastAsia="Calibri" w:hAnsi="Arial" w:cs="Arial"/>
          <w:kern w:val="2"/>
        </w:rPr>
        <w:t>9857,2</w:t>
      </w:r>
      <w:r w:rsidRPr="00A24AEF">
        <w:rPr>
          <w:rFonts w:ascii="Arial" w:eastAsia="Calibri" w:hAnsi="Arial" w:cs="Arial"/>
          <w:kern w:val="2"/>
        </w:rPr>
        <w:t xml:space="preserve"> млн рублей, или </w:t>
      </w:r>
      <w:r w:rsidR="00C15FD2">
        <w:rPr>
          <w:rFonts w:ascii="Arial" w:eastAsia="Calibri" w:hAnsi="Arial" w:cs="Arial"/>
          <w:kern w:val="2"/>
        </w:rPr>
        <w:t>3,</w:t>
      </w:r>
      <w:r w:rsidR="001E36AF">
        <w:rPr>
          <w:rFonts w:ascii="Arial" w:eastAsia="Calibri" w:hAnsi="Arial" w:cs="Arial"/>
          <w:kern w:val="2"/>
        </w:rPr>
        <w:t>8</w:t>
      </w:r>
      <w:r w:rsidRPr="00A24AEF">
        <w:rPr>
          <w:rFonts w:ascii="Arial" w:eastAsia="Calibri" w:hAnsi="Arial" w:cs="Arial"/>
          <w:kern w:val="2"/>
        </w:rPr>
        <w:t>%.</w:t>
      </w:r>
    </w:p>
    <w:p w14:paraId="7915B4DF" w14:textId="47D7DE38" w:rsidR="00A24AEF" w:rsidRPr="00A24AEF" w:rsidRDefault="00A24AEF" w:rsidP="005F45D8">
      <w:pPr>
        <w:ind w:right="-2" w:firstLine="567"/>
        <w:jc w:val="both"/>
        <w:rPr>
          <w:rFonts w:ascii="Arial" w:hAnsi="Arial" w:cs="Arial"/>
        </w:rPr>
      </w:pPr>
      <w:r w:rsidRPr="00A24AEF">
        <w:rPr>
          <w:rFonts w:ascii="Arial" w:hAnsi="Arial" w:cs="Arial"/>
          <w:b/>
          <w:kern w:val="2"/>
        </w:rPr>
        <w:t>Дебиторская задолженность</w:t>
      </w:r>
      <w:r w:rsidRPr="00A24AEF">
        <w:rPr>
          <w:rFonts w:ascii="Arial" w:hAnsi="Arial" w:cs="Arial"/>
          <w:kern w:val="2"/>
        </w:rPr>
        <w:t xml:space="preserve"> организаций Республики Крым на конец </w:t>
      </w:r>
      <w:r w:rsidR="00435446">
        <w:rPr>
          <w:rFonts w:ascii="Arial" w:hAnsi="Arial" w:cs="Arial"/>
          <w:kern w:val="2"/>
        </w:rPr>
        <w:t xml:space="preserve">февраля </w:t>
      </w:r>
      <w:r w:rsidRPr="00A24AEF">
        <w:rPr>
          <w:rFonts w:ascii="Arial" w:hAnsi="Arial" w:cs="Arial"/>
          <w:kern w:val="2"/>
        </w:rPr>
        <w:t>202</w:t>
      </w:r>
      <w:r w:rsidR="00435446">
        <w:rPr>
          <w:rFonts w:ascii="Arial" w:hAnsi="Arial" w:cs="Arial"/>
          <w:kern w:val="2"/>
        </w:rPr>
        <w:t>4</w:t>
      </w:r>
      <w:r w:rsidRPr="00A24AEF">
        <w:rPr>
          <w:rFonts w:ascii="Arial" w:hAnsi="Arial" w:cs="Arial"/>
          <w:kern w:val="2"/>
        </w:rPr>
        <w:t xml:space="preserve"> г. составила </w:t>
      </w:r>
      <w:r w:rsidR="00435446">
        <w:rPr>
          <w:rFonts w:ascii="Arial" w:hAnsi="Arial" w:cs="Arial"/>
          <w:kern w:val="2"/>
        </w:rPr>
        <w:t>197744,2</w:t>
      </w:r>
      <w:r w:rsidRPr="00A24AEF">
        <w:rPr>
          <w:rFonts w:ascii="Arial" w:hAnsi="Arial" w:cs="Arial"/>
          <w:kern w:val="2"/>
        </w:rPr>
        <w:t xml:space="preserve"> млн рублей</w:t>
      </w:r>
      <w:r w:rsidRPr="00A24AEF">
        <w:rPr>
          <w:rFonts w:ascii="Arial" w:hAnsi="Arial" w:cs="Arial"/>
          <w:color w:val="000000"/>
        </w:rPr>
        <w:t xml:space="preserve"> </w:t>
      </w:r>
      <w:r w:rsidRPr="00A24AEF">
        <w:rPr>
          <w:rFonts w:ascii="Arial" w:hAnsi="Arial" w:cs="Arial"/>
        </w:rPr>
        <w:t>и по сравнению с концом предыдущего месяца у</w:t>
      </w:r>
      <w:r w:rsidR="00435446">
        <w:rPr>
          <w:rFonts w:ascii="Arial" w:hAnsi="Arial" w:cs="Arial"/>
        </w:rPr>
        <w:t>величилась</w:t>
      </w:r>
      <w:r w:rsidRPr="00A24AEF">
        <w:rPr>
          <w:rFonts w:ascii="Arial" w:hAnsi="Arial" w:cs="Arial"/>
        </w:rPr>
        <w:t xml:space="preserve"> на </w:t>
      </w:r>
      <w:r w:rsidR="00435446">
        <w:rPr>
          <w:rFonts w:ascii="Arial" w:hAnsi="Arial" w:cs="Arial"/>
        </w:rPr>
        <w:t>0,9</w:t>
      </w:r>
      <w:r w:rsidRPr="00A24AEF">
        <w:rPr>
          <w:rFonts w:ascii="Arial" w:hAnsi="Arial" w:cs="Arial"/>
        </w:rPr>
        <w:t xml:space="preserve">%. Из общей суммы дебиторской задолженности </w:t>
      </w:r>
      <w:r w:rsidR="00D12C7C">
        <w:rPr>
          <w:rFonts w:ascii="Arial" w:hAnsi="Arial" w:cs="Arial"/>
        </w:rPr>
        <w:t>99032,9</w:t>
      </w:r>
      <w:r w:rsidRPr="00A24AEF">
        <w:rPr>
          <w:rFonts w:ascii="Arial" w:hAnsi="Arial" w:cs="Arial"/>
        </w:rPr>
        <w:t xml:space="preserve"> млн рублей, или </w:t>
      </w:r>
      <w:r w:rsidR="00725200">
        <w:rPr>
          <w:rFonts w:ascii="Arial" w:hAnsi="Arial" w:cs="Arial"/>
        </w:rPr>
        <w:t>50,</w:t>
      </w:r>
      <w:r w:rsidR="00D12C7C">
        <w:rPr>
          <w:rFonts w:ascii="Arial" w:hAnsi="Arial" w:cs="Arial"/>
        </w:rPr>
        <w:t>1</w:t>
      </w:r>
      <w:r w:rsidRPr="00A24AEF">
        <w:rPr>
          <w:rFonts w:ascii="Arial" w:hAnsi="Arial" w:cs="Arial"/>
        </w:rPr>
        <w:t xml:space="preserve">% приходится на </w:t>
      </w:r>
      <w:r w:rsidRPr="00A24AEF">
        <w:rPr>
          <w:rFonts w:ascii="Arial" w:hAnsi="Arial" w:cs="Arial"/>
          <w:kern w:val="2"/>
        </w:rPr>
        <w:t>предприятия промышленности.</w:t>
      </w:r>
      <w:r w:rsidRPr="00A24AEF">
        <w:rPr>
          <w:rFonts w:ascii="Arial" w:hAnsi="Arial" w:cs="Arial"/>
        </w:rPr>
        <w:t xml:space="preserve"> </w:t>
      </w:r>
    </w:p>
    <w:p w14:paraId="50C8C2A0" w14:textId="050ED1F8" w:rsidR="00A24AEF" w:rsidRPr="00A24AEF" w:rsidRDefault="00A24AEF" w:rsidP="005F45D8">
      <w:pPr>
        <w:ind w:right="-2" w:firstLine="567"/>
        <w:jc w:val="both"/>
        <w:rPr>
          <w:rFonts w:ascii="Arial" w:hAnsi="Arial" w:cs="Arial"/>
        </w:rPr>
      </w:pPr>
      <w:r w:rsidRPr="00A24AEF">
        <w:rPr>
          <w:rFonts w:ascii="Arial" w:hAnsi="Arial" w:cs="Arial"/>
        </w:rPr>
        <w:t xml:space="preserve">Удельный вес просроченной дебиторской задолженности составил </w:t>
      </w:r>
      <w:r w:rsidR="00D12C7C">
        <w:rPr>
          <w:rFonts w:ascii="Arial" w:hAnsi="Arial" w:cs="Arial"/>
        </w:rPr>
        <w:t>8,8</w:t>
      </w:r>
      <w:r w:rsidRPr="00A24AEF">
        <w:rPr>
          <w:rFonts w:ascii="Arial" w:hAnsi="Arial" w:cs="Arial"/>
        </w:rPr>
        <w:t>%. Каждое третье предприятие имеет просроченную дебиторскую задолженность.</w:t>
      </w:r>
    </w:p>
    <w:p w14:paraId="7760FB47" w14:textId="77777777" w:rsidR="00A24AEF" w:rsidRPr="00527A3D" w:rsidRDefault="00A24AEF" w:rsidP="00A24AEF">
      <w:pPr>
        <w:rPr>
          <w:color w:val="000000"/>
        </w:rPr>
      </w:pPr>
      <w:r>
        <w:rPr>
          <w:noProof/>
          <w:kern w:val="2"/>
          <w:sz w:val="18"/>
          <w:szCs w:val="18"/>
          <w:lang w:eastAsia="ru-RU"/>
        </w:rPr>
        <w:drawing>
          <wp:inline distT="0" distB="0" distL="0" distR="0" wp14:anchorId="5E94CA27" wp14:editId="65F2B02C">
            <wp:extent cx="6743700" cy="2124075"/>
            <wp:effectExtent l="0" t="0" r="0" b="9525"/>
            <wp:docPr id="6" name="Діаграма 6" title="2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B8275D" w14:textId="08040819" w:rsidR="00A24AEF" w:rsidRPr="00A24AEF" w:rsidRDefault="00A24AEF" w:rsidP="005F45D8">
      <w:pPr>
        <w:ind w:right="-2" w:firstLine="567"/>
        <w:jc w:val="both"/>
        <w:rPr>
          <w:rFonts w:ascii="Arial" w:hAnsi="Arial" w:cs="Arial"/>
          <w:color w:val="000000"/>
        </w:rPr>
      </w:pPr>
      <w:r w:rsidRPr="00A24AEF">
        <w:rPr>
          <w:rFonts w:ascii="Arial" w:hAnsi="Arial" w:cs="Arial"/>
          <w:color w:val="000000"/>
        </w:rPr>
        <w:t>Наибольшая</w:t>
      </w:r>
      <w:r w:rsidR="00820C4B">
        <w:rPr>
          <w:rFonts w:ascii="Arial" w:hAnsi="Arial" w:cs="Arial"/>
          <w:color w:val="000000"/>
        </w:rPr>
        <w:t xml:space="preserve"> </w:t>
      </w:r>
      <w:r w:rsidRPr="00A24AEF">
        <w:rPr>
          <w:rFonts w:ascii="Arial" w:hAnsi="Arial" w:cs="Arial"/>
          <w:color w:val="000000"/>
        </w:rPr>
        <w:t>доля, как дебиторской, так и</w:t>
      </w:r>
      <w:r w:rsidR="00820C4B">
        <w:rPr>
          <w:rFonts w:ascii="Arial" w:hAnsi="Arial" w:cs="Arial"/>
          <w:color w:val="000000"/>
        </w:rPr>
        <w:t xml:space="preserve"> </w:t>
      </w:r>
      <w:r w:rsidRPr="00A24AEF">
        <w:rPr>
          <w:rFonts w:ascii="Arial" w:hAnsi="Arial" w:cs="Arial"/>
          <w:color w:val="000000"/>
        </w:rPr>
        <w:t>кредиторской</w:t>
      </w:r>
      <w:r w:rsidR="00820C4B">
        <w:rPr>
          <w:rFonts w:ascii="Arial" w:hAnsi="Arial" w:cs="Arial"/>
          <w:color w:val="000000"/>
        </w:rPr>
        <w:t xml:space="preserve"> </w:t>
      </w:r>
      <w:r w:rsidRPr="00A24AEF">
        <w:rPr>
          <w:rFonts w:ascii="Arial" w:hAnsi="Arial" w:cs="Arial"/>
          <w:color w:val="000000"/>
        </w:rPr>
        <w:t>задолженности,</w:t>
      </w:r>
      <w:r w:rsidR="00C45B41">
        <w:rPr>
          <w:rFonts w:ascii="Arial" w:hAnsi="Arial" w:cs="Arial"/>
          <w:color w:val="000000"/>
        </w:rPr>
        <w:t xml:space="preserve"> </w:t>
      </w:r>
      <w:r w:rsidRPr="00A24AEF">
        <w:rPr>
          <w:rFonts w:ascii="Arial" w:hAnsi="Arial" w:cs="Arial"/>
          <w:color w:val="000000"/>
        </w:rPr>
        <w:t>приходится</w:t>
      </w:r>
      <w:r w:rsidR="00820C4B">
        <w:rPr>
          <w:rFonts w:ascii="Arial" w:hAnsi="Arial" w:cs="Arial"/>
          <w:color w:val="000000"/>
        </w:rPr>
        <w:t xml:space="preserve"> </w:t>
      </w:r>
      <w:r w:rsidRPr="00A24AEF">
        <w:rPr>
          <w:rFonts w:ascii="Arial" w:hAnsi="Arial" w:cs="Arial"/>
          <w:color w:val="000000"/>
        </w:rPr>
        <w:t>на</w:t>
      </w:r>
      <w:r w:rsidR="00FF50D6">
        <w:rPr>
          <w:rFonts w:ascii="Arial" w:hAnsi="Arial" w:cs="Arial"/>
          <w:color w:val="000000"/>
        </w:rPr>
        <w:t xml:space="preserve"> </w:t>
      </w:r>
      <w:r w:rsidRPr="00A24AEF">
        <w:rPr>
          <w:rFonts w:ascii="Arial" w:hAnsi="Arial" w:cs="Arial"/>
          <w:color w:val="000000"/>
        </w:rPr>
        <w:t>задолженность</w:t>
      </w:r>
      <w:r w:rsidR="00FF50D6">
        <w:rPr>
          <w:rFonts w:ascii="Arial" w:hAnsi="Arial" w:cs="Arial"/>
          <w:color w:val="000000"/>
        </w:rPr>
        <w:t xml:space="preserve"> </w:t>
      </w:r>
      <w:r w:rsidRPr="00A24AEF">
        <w:rPr>
          <w:rFonts w:ascii="Arial" w:hAnsi="Arial" w:cs="Arial"/>
          <w:color w:val="000000"/>
        </w:rPr>
        <w:t>за</w:t>
      </w:r>
      <w:r w:rsidR="00C45B41">
        <w:rPr>
          <w:rFonts w:ascii="Arial" w:hAnsi="Arial" w:cs="Arial"/>
          <w:color w:val="000000"/>
        </w:rPr>
        <w:t xml:space="preserve"> </w:t>
      </w:r>
      <w:r w:rsidRPr="00A24AEF">
        <w:rPr>
          <w:rFonts w:ascii="Arial" w:hAnsi="Arial" w:cs="Arial"/>
          <w:color w:val="000000"/>
        </w:rPr>
        <w:t>товары, работы и услуги 3</w:t>
      </w:r>
      <w:r w:rsidR="006E65D0">
        <w:rPr>
          <w:rFonts w:ascii="Arial" w:hAnsi="Arial" w:cs="Arial"/>
          <w:color w:val="000000"/>
        </w:rPr>
        <w:t>9</w:t>
      </w:r>
      <w:r w:rsidRPr="00A24AEF">
        <w:rPr>
          <w:rFonts w:ascii="Arial" w:hAnsi="Arial" w:cs="Arial"/>
          <w:color w:val="000000"/>
        </w:rPr>
        <w:t>,</w:t>
      </w:r>
      <w:r w:rsidR="006E65D0">
        <w:rPr>
          <w:rFonts w:ascii="Arial" w:hAnsi="Arial" w:cs="Arial"/>
          <w:color w:val="000000"/>
        </w:rPr>
        <w:t>9</w:t>
      </w:r>
      <w:r w:rsidRPr="00A24AEF">
        <w:rPr>
          <w:rFonts w:ascii="Arial" w:hAnsi="Arial" w:cs="Arial"/>
          <w:color w:val="000000"/>
        </w:rPr>
        <w:t>% и 3</w:t>
      </w:r>
      <w:r w:rsidR="006E65D0">
        <w:rPr>
          <w:rFonts w:ascii="Arial" w:hAnsi="Arial" w:cs="Arial"/>
          <w:color w:val="000000"/>
        </w:rPr>
        <w:t>2</w:t>
      </w:r>
      <w:r w:rsidRPr="00A24AEF">
        <w:rPr>
          <w:rFonts w:ascii="Arial" w:hAnsi="Arial" w:cs="Arial"/>
          <w:color w:val="000000"/>
        </w:rPr>
        <w:t>,</w:t>
      </w:r>
      <w:r w:rsidR="0071774D">
        <w:rPr>
          <w:rFonts w:ascii="Arial" w:hAnsi="Arial" w:cs="Arial"/>
          <w:color w:val="000000"/>
        </w:rPr>
        <w:t>6</w:t>
      </w:r>
      <w:r w:rsidRPr="00A24AEF">
        <w:rPr>
          <w:rFonts w:ascii="Arial" w:hAnsi="Arial" w:cs="Arial"/>
          <w:color w:val="000000"/>
        </w:rPr>
        <w:t>% соответственно.</w:t>
      </w:r>
    </w:p>
    <w:sectPr w:rsidR="00A24AEF" w:rsidRPr="00A24AEF" w:rsidSect="009561A9">
      <w:headerReference w:type="default" r:id="rId14"/>
      <w:footerReference w:type="default" r:id="rId15"/>
      <w:pgSz w:w="11906" w:h="16838"/>
      <w:pgMar w:top="567" w:right="567" w:bottom="567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85A23" w14:textId="77777777" w:rsidR="00022A03" w:rsidRDefault="00022A03" w:rsidP="000A4F53">
      <w:pPr>
        <w:spacing w:after="0" w:line="240" w:lineRule="auto"/>
      </w:pPr>
      <w:r>
        <w:separator/>
      </w:r>
    </w:p>
  </w:endnote>
  <w:endnote w:type="continuationSeparator" w:id="0">
    <w:p w14:paraId="132B7711" w14:textId="77777777" w:rsidR="00022A03" w:rsidRDefault="00022A0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75A37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18CCF" w14:textId="77777777" w:rsidR="00022A03" w:rsidRDefault="00022A03" w:rsidP="000A4F53">
      <w:pPr>
        <w:spacing w:after="0" w:line="240" w:lineRule="auto"/>
      </w:pPr>
      <w:r>
        <w:separator/>
      </w:r>
    </w:p>
  </w:footnote>
  <w:footnote w:type="continuationSeparator" w:id="0">
    <w:p w14:paraId="077EA0F6" w14:textId="77777777" w:rsidR="00022A03" w:rsidRDefault="00022A0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11AAE"/>
    <w:rsid w:val="000169D6"/>
    <w:rsid w:val="00022A03"/>
    <w:rsid w:val="000403CF"/>
    <w:rsid w:val="00040651"/>
    <w:rsid w:val="0005702E"/>
    <w:rsid w:val="00064901"/>
    <w:rsid w:val="000A31E5"/>
    <w:rsid w:val="000A4F53"/>
    <w:rsid w:val="000D65A1"/>
    <w:rsid w:val="000F4620"/>
    <w:rsid w:val="00114359"/>
    <w:rsid w:val="001151A9"/>
    <w:rsid w:val="001262B3"/>
    <w:rsid w:val="00147B7F"/>
    <w:rsid w:val="00147E85"/>
    <w:rsid w:val="001770CE"/>
    <w:rsid w:val="00193972"/>
    <w:rsid w:val="001A4969"/>
    <w:rsid w:val="001B7D00"/>
    <w:rsid w:val="001D0C6E"/>
    <w:rsid w:val="001D37B0"/>
    <w:rsid w:val="001D3EF2"/>
    <w:rsid w:val="001E36AF"/>
    <w:rsid w:val="001E4C22"/>
    <w:rsid w:val="001F0C08"/>
    <w:rsid w:val="001F11DC"/>
    <w:rsid w:val="001F2A12"/>
    <w:rsid w:val="001F66AB"/>
    <w:rsid w:val="0021605C"/>
    <w:rsid w:val="00216178"/>
    <w:rsid w:val="00235E0F"/>
    <w:rsid w:val="002370CF"/>
    <w:rsid w:val="00240DA0"/>
    <w:rsid w:val="00275A37"/>
    <w:rsid w:val="002A1AA1"/>
    <w:rsid w:val="002A7AB5"/>
    <w:rsid w:val="002B05B9"/>
    <w:rsid w:val="002D799B"/>
    <w:rsid w:val="002E36A3"/>
    <w:rsid w:val="002E38E3"/>
    <w:rsid w:val="002E4066"/>
    <w:rsid w:val="002F43A8"/>
    <w:rsid w:val="00310426"/>
    <w:rsid w:val="00312FBA"/>
    <w:rsid w:val="003248EE"/>
    <w:rsid w:val="00325F93"/>
    <w:rsid w:val="0034561A"/>
    <w:rsid w:val="003714CB"/>
    <w:rsid w:val="00384467"/>
    <w:rsid w:val="00391988"/>
    <w:rsid w:val="003D505E"/>
    <w:rsid w:val="003D571E"/>
    <w:rsid w:val="003D7943"/>
    <w:rsid w:val="00401FF7"/>
    <w:rsid w:val="004113E3"/>
    <w:rsid w:val="00422E10"/>
    <w:rsid w:val="00435446"/>
    <w:rsid w:val="00442CD1"/>
    <w:rsid w:val="00444003"/>
    <w:rsid w:val="00451BB7"/>
    <w:rsid w:val="00475EBE"/>
    <w:rsid w:val="00477840"/>
    <w:rsid w:val="0049672B"/>
    <w:rsid w:val="004A63C4"/>
    <w:rsid w:val="004D2432"/>
    <w:rsid w:val="0050523C"/>
    <w:rsid w:val="00524D57"/>
    <w:rsid w:val="00550216"/>
    <w:rsid w:val="00555B0F"/>
    <w:rsid w:val="00565C58"/>
    <w:rsid w:val="005662CE"/>
    <w:rsid w:val="00581065"/>
    <w:rsid w:val="00586203"/>
    <w:rsid w:val="005E6F59"/>
    <w:rsid w:val="005F45B8"/>
    <w:rsid w:val="005F45D8"/>
    <w:rsid w:val="00616151"/>
    <w:rsid w:val="006175CA"/>
    <w:rsid w:val="00624B18"/>
    <w:rsid w:val="006535A1"/>
    <w:rsid w:val="0065389D"/>
    <w:rsid w:val="00654A08"/>
    <w:rsid w:val="00657498"/>
    <w:rsid w:val="0069416A"/>
    <w:rsid w:val="006D0D8F"/>
    <w:rsid w:val="006D3A24"/>
    <w:rsid w:val="006E65D0"/>
    <w:rsid w:val="006E707C"/>
    <w:rsid w:val="006F1080"/>
    <w:rsid w:val="0071774D"/>
    <w:rsid w:val="007238E9"/>
    <w:rsid w:val="00725200"/>
    <w:rsid w:val="007579C9"/>
    <w:rsid w:val="0076796A"/>
    <w:rsid w:val="00775478"/>
    <w:rsid w:val="00782D29"/>
    <w:rsid w:val="0078379C"/>
    <w:rsid w:val="007B2793"/>
    <w:rsid w:val="007B2C20"/>
    <w:rsid w:val="007C439E"/>
    <w:rsid w:val="007C5BAA"/>
    <w:rsid w:val="0081278D"/>
    <w:rsid w:val="00820C4B"/>
    <w:rsid w:val="00826E1A"/>
    <w:rsid w:val="00843273"/>
    <w:rsid w:val="008757EE"/>
    <w:rsid w:val="008D4B5E"/>
    <w:rsid w:val="008D4DBA"/>
    <w:rsid w:val="008E191F"/>
    <w:rsid w:val="008E5D6D"/>
    <w:rsid w:val="00900826"/>
    <w:rsid w:val="00921D17"/>
    <w:rsid w:val="0094288E"/>
    <w:rsid w:val="00947C8A"/>
    <w:rsid w:val="0095427E"/>
    <w:rsid w:val="009561A9"/>
    <w:rsid w:val="009C3F79"/>
    <w:rsid w:val="009C57DA"/>
    <w:rsid w:val="009D4162"/>
    <w:rsid w:val="009D67FF"/>
    <w:rsid w:val="009E265B"/>
    <w:rsid w:val="009E37A9"/>
    <w:rsid w:val="009F74EB"/>
    <w:rsid w:val="00A06F52"/>
    <w:rsid w:val="00A1015F"/>
    <w:rsid w:val="00A13323"/>
    <w:rsid w:val="00A24AEF"/>
    <w:rsid w:val="00A27F77"/>
    <w:rsid w:val="00A36CB0"/>
    <w:rsid w:val="00A371D4"/>
    <w:rsid w:val="00A52928"/>
    <w:rsid w:val="00A5610C"/>
    <w:rsid w:val="00A623A9"/>
    <w:rsid w:val="00A92EF4"/>
    <w:rsid w:val="00AA0DFE"/>
    <w:rsid w:val="00AD6AEE"/>
    <w:rsid w:val="00AE761E"/>
    <w:rsid w:val="00AF76A4"/>
    <w:rsid w:val="00B13AB0"/>
    <w:rsid w:val="00B3554B"/>
    <w:rsid w:val="00B447FE"/>
    <w:rsid w:val="00B4544A"/>
    <w:rsid w:val="00B47F66"/>
    <w:rsid w:val="00B62C21"/>
    <w:rsid w:val="00B66111"/>
    <w:rsid w:val="00B66113"/>
    <w:rsid w:val="00B84188"/>
    <w:rsid w:val="00B859C4"/>
    <w:rsid w:val="00B95517"/>
    <w:rsid w:val="00BB403A"/>
    <w:rsid w:val="00BC1235"/>
    <w:rsid w:val="00BD34A0"/>
    <w:rsid w:val="00BD3503"/>
    <w:rsid w:val="00C00952"/>
    <w:rsid w:val="00C15FD2"/>
    <w:rsid w:val="00C32AD1"/>
    <w:rsid w:val="00C45B41"/>
    <w:rsid w:val="00C62795"/>
    <w:rsid w:val="00C93672"/>
    <w:rsid w:val="00C95591"/>
    <w:rsid w:val="00C965D0"/>
    <w:rsid w:val="00CA0225"/>
    <w:rsid w:val="00CA1919"/>
    <w:rsid w:val="00CA542E"/>
    <w:rsid w:val="00CB0FC0"/>
    <w:rsid w:val="00CD5427"/>
    <w:rsid w:val="00CF2408"/>
    <w:rsid w:val="00D01057"/>
    <w:rsid w:val="00D04954"/>
    <w:rsid w:val="00D11511"/>
    <w:rsid w:val="00D12C7C"/>
    <w:rsid w:val="00D55929"/>
    <w:rsid w:val="00D55ECE"/>
    <w:rsid w:val="00D810D7"/>
    <w:rsid w:val="00D908F5"/>
    <w:rsid w:val="00DA01F7"/>
    <w:rsid w:val="00DA0299"/>
    <w:rsid w:val="00DA3116"/>
    <w:rsid w:val="00DC3D74"/>
    <w:rsid w:val="00DE4EB0"/>
    <w:rsid w:val="00DF1588"/>
    <w:rsid w:val="00DF2A32"/>
    <w:rsid w:val="00E239C7"/>
    <w:rsid w:val="00E352E0"/>
    <w:rsid w:val="00E426C4"/>
    <w:rsid w:val="00E46769"/>
    <w:rsid w:val="00E545F1"/>
    <w:rsid w:val="00E6561C"/>
    <w:rsid w:val="00E65C45"/>
    <w:rsid w:val="00E71967"/>
    <w:rsid w:val="00EA43B1"/>
    <w:rsid w:val="00EA5990"/>
    <w:rsid w:val="00EC0E17"/>
    <w:rsid w:val="00F02B98"/>
    <w:rsid w:val="00F31094"/>
    <w:rsid w:val="00F35A65"/>
    <w:rsid w:val="00F37CFA"/>
    <w:rsid w:val="00F438E2"/>
    <w:rsid w:val="00F46EAD"/>
    <w:rsid w:val="00F52E4C"/>
    <w:rsid w:val="00F66F7E"/>
    <w:rsid w:val="00F67E05"/>
    <w:rsid w:val="00FA6911"/>
    <w:rsid w:val="00FC43E1"/>
    <w:rsid w:val="00FD42B8"/>
    <w:rsid w:val="00FE1A54"/>
    <w:rsid w:val="00FE2126"/>
    <w:rsid w:val="00FE4489"/>
    <w:rsid w:val="00FE7260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C6E"/>
    <w:rPr>
      <w:rFonts w:ascii="Segoe UI" w:hAnsi="Segoe UI" w:cs="Segoe UI"/>
      <w:sz w:val="18"/>
      <w:szCs w:val="18"/>
    </w:rPr>
  </w:style>
  <w:style w:type="paragraph" w:styleId="ac">
    <w:name w:val="Title"/>
    <w:aliases w:val="Знак Знак Знак Знак"/>
    <w:basedOn w:val="a"/>
    <w:link w:val="ad"/>
    <w:qFormat/>
    <w:rsid w:val="00A24AEF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aliases w:val="Знак Знак Знак Знак Знак"/>
    <w:basedOn w:val="a0"/>
    <w:link w:val="ac"/>
    <w:rsid w:val="00A24AE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C6E"/>
    <w:rPr>
      <w:rFonts w:ascii="Segoe UI" w:hAnsi="Segoe UI" w:cs="Segoe UI"/>
      <w:sz w:val="18"/>
      <w:szCs w:val="18"/>
    </w:rPr>
  </w:style>
  <w:style w:type="paragraph" w:styleId="ac">
    <w:name w:val="Title"/>
    <w:aliases w:val="Знак Знак Знак Знак"/>
    <w:basedOn w:val="a"/>
    <w:link w:val="ad"/>
    <w:qFormat/>
    <w:rsid w:val="00A24AEF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aliases w:val="Знак Знак Знак Знак Знак"/>
    <w:basedOn w:val="a0"/>
    <w:link w:val="ac"/>
    <w:rsid w:val="00A24AE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21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31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414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Распределение общей суммы прибыли по видам деятельности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в  январе </a:t>
            </a:r>
            <a:r>
              <a:rPr lang="ru-RU" sz="1200" b="1" i="0" u="none" strike="noStrike" baseline="0">
                <a:solidFill>
                  <a:srgbClr val="363194"/>
                </a:solidFill>
                <a:effectLst/>
              </a:rPr>
              <a:t>–</a:t>
            </a:r>
            <a:r>
              <a:rPr lang="ru-RU" sz="1200" b="0" i="0" u="none" strike="noStrike" baseline="0">
                <a:solidFill>
                  <a:srgbClr val="363194"/>
                </a:solidFill>
                <a:effectLst/>
              </a:rPr>
              <a:t> </a:t>
            </a: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феврале 2024 года  </a:t>
            </a:r>
            <a:r>
              <a:rPr lang="uk-UA" sz="1200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200" baseline="0">
                <a:latin typeface="Arial" panose="020B0604020202020204" pitchFamily="34" charset="0"/>
                <a:cs typeface="Arial" panose="020B0604020202020204" pitchFamily="34" charset="0"/>
              </a:rPr>
              <a:t>                                                                          </a:t>
            </a:r>
            <a:r>
              <a:rPr lang="uk-UA" sz="1100" baseline="0">
                <a:latin typeface="Arial" panose="020B0604020202020204" pitchFamily="34" charset="0"/>
                <a:cs typeface="Arial" panose="020B0604020202020204" pitchFamily="34" charset="0"/>
              </a:rPr>
              <a:t>в процентах к итогу</a:t>
            </a:r>
          </a:p>
        </c:rich>
      </c:tx>
      <c:layout>
        <c:manualLayout>
          <c:xMode val="edge"/>
          <c:yMode val="edge"/>
          <c:x val="1.0046183771836486E-3"/>
          <c:y val="3.565258888093533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70378527719596928"/>
          <c:y val="0.30410525607375999"/>
          <c:w val="0.26258639545056867"/>
          <c:h val="0.69063819077409849"/>
        </c:manualLayout>
      </c:layout>
      <c:doughnut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363194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346FC2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7DBBFC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578C7B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6AA98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A1DCBC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838383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5.7215159627094975E-2"/>
                  <c:y val="-1.802050384727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8764537434243198E-2"/>
                  <c:y val="6.38001765701149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28,7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25963530874428E-2"/>
                      <c:h val="9.484848484848483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5288881919632021E-2"/>
                  <c:y val="2.89631424277093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8,3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14772503148088E-2"/>
                      <c:h val="0.1207998091147697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5.2137707537624652E-2"/>
                  <c:y val="-4.92671108419139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6044884503235108E-2"/>
                  <c:y val="-8.43410963782055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586321091086943E-2"/>
                  <c:y val="-0.124833882944119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6098087312343431E-3"/>
                  <c:y val="-0.147937725733001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7"/>
                <c:pt idx="0">
                  <c:v>промышленность</c:v>
                </c:pt>
                <c:pt idx="1">
                  <c:v>торговля оптовая и розничная; ремонт автотранспортных средств и мотоциклов</c:v>
                </c:pt>
                <c:pt idx="2">
                  <c:v>сельское, лесное хозяйство, охота, рыболовство и рыбоводство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здравоохранения и социальных услуг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39.700000000000003</c:v>
                </c:pt>
                <c:pt idx="1">
                  <c:v>28.7</c:v>
                </c:pt>
                <c:pt idx="2">
                  <c:v>8.3000000000000007</c:v>
                </c:pt>
                <c:pt idx="3">
                  <c:v>7.2</c:v>
                </c:pt>
                <c:pt idx="4">
                  <c:v>4.3</c:v>
                </c:pt>
                <c:pt idx="5" formatCode="0.0">
                  <c:v>4.3</c:v>
                </c:pt>
                <c:pt idx="6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26290194458901095"/>
          <c:w val="0.57172746721026879"/>
          <c:h val="0.737098055410988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90000"/>
            </a:lnSpc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Распределение общей суммы убытков по видам деятельности </a:t>
            </a:r>
          </a:p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в  январе </a:t>
            </a:r>
            <a:r>
              <a:rPr lang="ru-RU" sz="1100" b="1" i="0" u="none" strike="noStrike" baseline="0">
                <a:effectLst/>
              </a:rPr>
              <a:t>–</a:t>
            </a: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феврале</a:t>
            </a:r>
            <a:r>
              <a:rPr lang="uk-UA" sz="1100" b="1" i="0" u="none" strike="noStrike" kern="1200" spc="0" baseline="0">
                <a:solidFill>
                  <a:srgbClr val="363194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 2024</a:t>
            </a: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года  </a:t>
            </a:r>
          </a:p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100" baseline="0">
                <a:latin typeface="Arial" panose="020B0604020202020204" pitchFamily="34" charset="0"/>
                <a:cs typeface="Arial" panose="020B0604020202020204" pitchFamily="34" charset="0"/>
              </a:rPr>
              <a:t>             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1.7516390078212967E-3"/>
          <c:y val="4.941815901330915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7016812589148006"/>
          <c:y val="0.26583628216222699"/>
          <c:w val="0.26258639545056867"/>
          <c:h val="0.69063819077409849"/>
        </c:manualLayout>
      </c:layout>
      <c:doughnutChart>
        <c:varyColors val="1"/>
        <c:ser>
          <c:idx val="0"/>
          <c:order val="0"/>
          <c:spPr>
            <a:solidFill>
              <a:srgbClr val="363194"/>
            </a:solidFill>
            <a:ln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346FC2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7DBBFC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578C7B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6AA98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838383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7.1506908121420118E-2"/>
                  <c:y val="2.1690171617557499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107555063508034E-2"/>
                      <c:h val="0.1104966884580123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346199079311389"/>
                  <c:y val="-0.24829021372328458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273817593992794E-2"/>
                      <c:h val="9.1758917589175884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3035322931717462E-4"/>
                  <c:y val="0.31524581486137754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677881173944165E-2"/>
                      <c:h val="8.141677792006102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3.449100112485939E-3"/>
                  <c:y val="-0.20586609889215426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4,5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8340669720694589E-2"/>
                  <c:y val="-1.7068969320011521E-2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8,9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86047213530623E-2"/>
                      <c:h val="8.4879567045269777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9.8156009303957924E-3"/>
                  <c:y val="-0.1417130946866936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316897887764028E-2"/>
                      <c:h val="7.0516566277963877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2.7723575116024406E-2"/>
                  <c:y val="3.8486794316762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285585162781795E-2"/>
                      <c:h val="0.112598618899574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Аркуш1!$A$3:$A$8</c:f>
              <c:strCache>
                <c:ptCount val="6"/>
                <c:pt idx="0">
                  <c:v>транспортировка и хранение</c:v>
                </c:pt>
                <c:pt idx="1">
                  <c:v>деятельность в области информации и связи</c:v>
                </c:pt>
                <c:pt idx="2">
                  <c:v>промышленность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здравоохранения и социальных услуг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Аркуш1!$B$3:$B$8</c:f>
              <c:numCache>
                <c:formatCode>General</c:formatCode>
                <c:ptCount val="6"/>
                <c:pt idx="0" formatCode="0.0">
                  <c:v>37.9</c:v>
                </c:pt>
                <c:pt idx="1">
                  <c:v>30.5</c:v>
                </c:pt>
                <c:pt idx="2">
                  <c:v>12.4</c:v>
                </c:pt>
                <c:pt idx="3">
                  <c:v>8.9</c:v>
                </c:pt>
                <c:pt idx="4">
                  <c:v>4.5</c:v>
                </c:pt>
                <c:pt idx="5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  <a:effectLst/>
      </c:spPr>
    </c:plotArea>
    <c:legend>
      <c:legendPos val="l"/>
      <c:legendEntry>
        <c:idx val="2"/>
        <c:txPr>
          <a:bodyPr rot="0" spcFirstLastPara="1" vertOverflow="ellipsis" vert="horz" wrap="square" anchor="ctr" anchorCtr="1"/>
          <a:lstStyle/>
          <a:p>
            <a:pPr rtl="0">
              <a:lnSpc>
                <a:spcPct val="100000"/>
              </a:lnSpc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1.1782032400589101E-2"/>
          <c:y val="0.29665056573810628"/>
          <c:w val="0.54344624447717227"/>
          <c:h val="0.669724078607821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lnSpc>
              <a:spcPct val="100000"/>
            </a:lnSpc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Распределение к</a:t>
            </a: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редиторской задолженности организаций</a:t>
            </a:r>
          </a:p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по видам на 29 февраля </a:t>
            </a:r>
            <a:r>
              <a:rPr lang="uk-UA" sz="1100" b="1" i="0" u="none" strike="noStrike" kern="1200" spc="0" baseline="0">
                <a:solidFill>
                  <a:srgbClr val="363194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2024</a:t>
            </a: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года  </a:t>
            </a:r>
          </a:p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100" baseline="0">
                <a:latin typeface="Arial" panose="020B0604020202020204" pitchFamily="34" charset="0"/>
                <a:cs typeface="Arial" panose="020B0604020202020204" pitchFamily="34" charset="0"/>
              </a:rPr>
              <a:t>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9.8921956789299647E-4"/>
          <c:y val="1.829827241744032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65423876260750424"/>
          <c:y val="0.22267312739753684"/>
          <c:w val="0.24791132240545405"/>
          <c:h val="0.5512993043701705"/>
        </c:manualLayout>
      </c:layout>
      <c:doughnut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solidFill>
              <a:srgbClr val="578C7B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Pt>
            <c:idx val="0"/>
            <c:bubble3D val="0"/>
            <c:spPr>
              <a:solidFill>
                <a:srgbClr val="363194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rgbClr val="346FC2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rgbClr val="7DBBFC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rgbClr val="838383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4.728561472188858E-2"/>
                  <c:y val="-6.70846554628432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51975918264454E-2"/>
                  <c:y val="3.95232498922708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010721117487429E-2"/>
                  <c:y val="8.71869001449445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078354612453108E-2"/>
                  <c:y val="-0.2407106201277078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задолженность за товары, работы, услуги</c:v>
                </c:pt>
                <c:pt idx="1">
                  <c:v>задолженность по платежам в бюджет</c:v>
                </c:pt>
                <c:pt idx="2">
                  <c:v>задолженность по взносам на обязательное социальное страхование, обязательное пенсионное обеспечение, обязательное медицинское страхование</c:v>
                </c:pt>
                <c:pt idx="3">
                  <c:v>прочая кредиторская задолженность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32.6</c:v>
                </c:pt>
                <c:pt idx="1">
                  <c:v>3.2</c:v>
                </c:pt>
                <c:pt idx="2">
                  <c:v>0.5</c:v>
                </c:pt>
                <c:pt idx="3">
                  <c:v>63.7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23504720492028044"/>
          <c:w val="0.59386078858786717"/>
          <c:h val="0.610723939358326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Распределение дебиторской задолженности организаций </a:t>
            </a:r>
            <a:endParaRPr lang="en-US" sz="1100" b="1" baseline="0">
              <a:solidFill>
                <a:srgbClr val="36319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ctr"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по видам на 29 февраля </a:t>
            </a:r>
            <a:r>
              <a:rPr lang="uk-UA" sz="1100" b="1" i="0" u="none" strike="noStrike" kern="1200" spc="0" baseline="0">
                <a:solidFill>
                  <a:srgbClr val="363194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2024</a:t>
            </a:r>
            <a:r>
              <a:rPr lang="uk-UA" sz="1100" b="1" baseline="0">
                <a:solidFill>
                  <a:srgbClr val="36319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года  </a:t>
            </a:r>
            <a:endParaRPr lang="uk-UA" sz="1100" baseline="0">
              <a:solidFill>
                <a:srgbClr val="36319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ctr"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1100" baseline="0">
                <a:latin typeface="Arial" panose="020B0604020202020204" pitchFamily="34" charset="0"/>
                <a:cs typeface="Arial" panose="020B0604020202020204" pitchFamily="34" charset="0"/>
              </a:rPr>
              <a:t>                                                            в процентах к итогу           </a:t>
            </a:r>
          </a:p>
        </c:rich>
      </c:tx>
      <c:layout>
        <c:manualLayout>
          <c:xMode val="edge"/>
          <c:yMode val="edge"/>
          <c:x val="8.9480889816726829E-4"/>
          <c:y val="2.14299392833406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64727038333691433"/>
          <c:y val="0.30713662938055492"/>
          <c:w val="0.2407281674060405"/>
          <c:h val="0.64366372658353321"/>
        </c:manualLayout>
      </c:layout>
      <c:doughnutChart>
        <c:varyColors val="1"/>
        <c:ser>
          <c:idx val="1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solidFill>
              <a:srgbClr val="36319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dPt>
            <c:idx val="0"/>
            <c:bubble3D val="0"/>
            <c:spPr>
              <a:solidFill>
                <a:srgbClr val="363194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rgbClr val="838383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rgbClr val="363194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rgbClr val="363194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5.9457864377122215E-2"/>
                  <c:y val="-7.24505961418500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39,9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26904361673893E-2"/>
                      <c:h val="9.52789699570815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0034328336076637E-2"/>
                  <c:y val="5.651165801584218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60,1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427952123962021E-2"/>
                      <c:h val="0.1181688125894134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задолженность за товары, работы, услуги</c:v>
                </c:pt>
                <c:pt idx="1">
                  <c:v>прочая дебиторская задолженность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39.9</c:v>
                </c:pt>
                <c:pt idx="1">
                  <c:v>60.1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"/>
          <c:y val="0.30344408742629142"/>
          <c:w val="0.40878063970817208"/>
          <c:h val="0.336340289302402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C977-E890-4CF8-862C-DE5CA5CA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2024-02-29T06:54:00Z</cp:lastPrinted>
  <dcterms:created xsi:type="dcterms:W3CDTF">2024-02-01T11:41:00Z</dcterms:created>
  <dcterms:modified xsi:type="dcterms:W3CDTF">2024-04-24T10:32:00Z</dcterms:modified>
</cp:coreProperties>
</file>